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D4" w:rsidRPr="00A97338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на право размещения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28 декабря 2009 года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, устойчивого развития территорий, а также создания</w:t>
      </w:r>
      <w:proofErr w:type="gramEnd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1) положение о конкурсе на право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2) методику определения стартового размера финансового предложения на право размещения нестационарных торговых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 № 2);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Ведущему специалисту организационно - правового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Ротач</w:t>
      </w:r>
      <w:proofErr w:type="spellEnd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обеспечить обнародование настоящего постановления в установленном порядке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4. Постановление вступает в силу со дня его обнародования.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Верхнекубанского сельского поселения </w:t>
      </w:r>
    </w:p>
    <w:p w:rsidR="000C55CB" w:rsidRPr="00EE5079" w:rsidRDefault="000C55CB" w:rsidP="000C55CB">
      <w:pPr>
        <w:tabs>
          <w:tab w:val="left" w:pos="83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А.В. Брежнев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о конкурсе на право размещения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Новокубанского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1.1.Настоящее Положение о конкурсе на право размещения нестационарных торговых объектов (далее - Положение) определяет порядок проведения и условия участия в конкурсе на право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Конкурс).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1.2.Положение разработано в соответствии с Гражданским Кодексом Российской Федерации,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и Указом Президента Российской Федерации от 29 января 1992 года № 65 «О свободе торговли».</w:t>
      </w:r>
      <w:r w:rsidRPr="00EE50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1.3. Целями проведения Конкурса являются: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единого порядка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(далее - поселения);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обеспечение устойчивого экономического развития территории поселения;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1.4. Предметом Конкурса является право размещения нестационарных торговых объектов на территории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. Объектом Конкурса является лот, включающий в себя одно место размещение объекта нестационарной мелкорозничной торговли, оказания услуг на территории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утвержденной схемой размещения нестационарных торговых объектов на территории муниципального образования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Тихорецкий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район, ежегодно утверждаемой постановлением администрации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Тихорецкий</w:t>
      </w:r>
      <w:proofErr w:type="spellEnd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1.5. Срок предоставления права на размещение нестационарных торговых объектов устанавливается: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до 1 месяца - для объектов, функционирующих в зимний период с 1 декабря по 1 января;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 6 месяцев - для объектов, функционирующих в весенне-летний период с 1 мая по 31 октября;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апреля;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 1 года - для иных нестационарных торговых объектов;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1.6. Организатором Конкурса выступает администрация поселения (далее - Организатор).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1.7. 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Комиссия), состав которой утверждается постановлением администрации поселения.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1.8. Организатор обеспечивает размещение информационного сообщения о проведении Конкурса на официальном сайте администрации поселения не менее чем за 20 дней до дня проведения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Организатор вправе внести изменения в информационное сообщение о проведении Конкурса не позднее, чем за 5 дней до дня проведения Конкурса при этом срок подачи заявки на участие в конкурсе продлевается на 2 дня.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EE50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В и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нформационном сообщении указывается следующая информация: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время и место проведения Конкурса;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место приема заявок;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адрес и телефон Организатора;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предмет Конкурса;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сведения об оформлении участия в Конкурсе;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определение лица, выигравшего Конкурс;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сведения о начальной цене;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 Условия участия в Конкурсе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2.1. 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Организатором изменений в информационное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сообщение о проведении Конкурса прием заявлений на участие в Конкурсе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за 3 дня до даты проведения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2.2. 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2.3. Заявление является официальным документом Заявителя, выражающим его намерение принять участие в Конкурсе.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 Для участия в Конкурсе Заявитель представляет на рассмотрение Конкурсной Комиссии следующие документы: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Заявителя (его представителя);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доверенность, оформленную в установленном законом порядке, в случае  представления интересов Заявителя;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документы, содержащие сведения, подтверждающие соответствие заявителя конкурсным условиям: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679"/>
        <w:gridCol w:w="4352"/>
      </w:tblGrid>
      <w:tr w:rsidR="000C55CB" w:rsidRPr="00EE5079" w:rsidTr="00567F4A">
        <w:tc>
          <w:tcPr>
            <w:tcW w:w="674" w:type="dxa"/>
            <w:shd w:val="clear" w:color="auto" w:fill="auto"/>
          </w:tcPr>
          <w:p w:rsidR="000C55CB" w:rsidRPr="00EE5079" w:rsidRDefault="000C55CB" w:rsidP="00567F4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№№ </w:t>
            </w:r>
            <w:proofErr w:type="spellStart"/>
            <w:proofErr w:type="gramStart"/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0C55CB" w:rsidRPr="00EE5079" w:rsidRDefault="000C55CB" w:rsidP="00567F4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</w:tcPr>
          <w:p w:rsidR="000C55CB" w:rsidRPr="00EE5079" w:rsidRDefault="000C55CB" w:rsidP="00567F4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E507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C55CB" w:rsidRPr="00EE5079" w:rsidTr="00567F4A">
        <w:tc>
          <w:tcPr>
            <w:tcW w:w="674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</w:t>
            </w:r>
            <w:proofErr w:type="spellStart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52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</w:t>
            </w:r>
            <w:proofErr w:type="spellStart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C55CB" w:rsidRPr="00EE5079" w:rsidTr="00567F4A">
        <w:tc>
          <w:tcPr>
            <w:tcW w:w="674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декларация об уплате </w:t>
            </w: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Единого сельскохозяйственного налога за отчётный квартал текущего года;</w:t>
            </w:r>
          </w:p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0C55CB" w:rsidRPr="00EE5079" w:rsidTr="00567F4A">
        <w:tc>
          <w:tcPr>
            <w:tcW w:w="674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9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0C55CB" w:rsidRPr="00EE5079" w:rsidTr="00567F4A">
        <w:tc>
          <w:tcPr>
            <w:tcW w:w="674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0C55CB" w:rsidRPr="00EE5079" w:rsidRDefault="000C55CB" w:rsidP="00567F4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</w:t>
            </w:r>
            <w:proofErr w:type="spellStart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EE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заключённый на предшествующие периоды и др.</w:t>
            </w:r>
          </w:p>
        </w:tc>
      </w:tr>
    </w:tbl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опись представляемых на Конкурс документов (далее - Опись), заверенная Заявителем;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 лицевой стороне конверта, содержащего Финансовое предложение, указывается: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наименование и местонахождение Заявителя;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ассортимент товаров, предполагаемых Заявителем к реализации;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порядковый номер, место размещения нестационарного объекта в соответствии с графическим изображением согласно приложению № 2 к постановлению администрации муниципального образования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Тихорецкий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района от 11 ноября 2015 года № 1189 «Об утверждении схемы размещения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нестационарных торговых объектов на территории муниципального образования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Тихорецкий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Схема);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наименование Заявителя;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адрес места размещения нестационарного торгового объекта, в соответствии со Схемой;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сумма финансового предложения указывается цифрами и прописью;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подпись Заявителя с расшифровкой.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2.5. 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2.6. 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2.7. На лицевую сторону пакета с документами Заявителем наносится следующая информация: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наименование заявителя;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2.8. Организатор Конкурса: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регистрирует пакет Заявителя в журнале приема с указанием даты,  времени поступления пакета;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проверяет полноту и правильность информации на лицевой стороне пакета;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проверяет целостность пакета;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2.9. Заявителю может быть отказано в приеме пакета Заявителя на участие в Конкурсе в случаях: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пакета отсутствует (не полностью отражена) или не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поддается прочтению информация, указанная в пункте 2.7 раздела 2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2.10. Заполнение бланков заявлений, финансовых предложений и выполнение информационных надписей на конвертах возможно как в машинописном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так и рукописном.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 Порядок проведения Конкурса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3.1. Конкурс проходит в месте, в день и время,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 опубликованном Организатором информационном сообщении.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3.2. 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3.3. На заседаниях Конкурсной Комиссии, кроме ее членов, вправе присутствовать лица, подавшие заявления на участие в Конкурсе.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3.4. Общее время проведения Конкурса не может превышать 6 (шесть) рабочих дней.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3.5. Конкурс проводится в два этапа.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3.6. На первом этапе Конкурса Конкурсная Комиссия в своем заседании осуществляет: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вскрытие пакетов Заявителей;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принятие решения о допуске или отказе Заявителю в дальнейшем участии в Конкурсе;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присвоение номеров Участникам Конкурса, исходя из даты и времени подачи пакета;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3.7. Основанием для отказа Заявителю в дальнейшем участии в Конкурсе является: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копии представленных документов не заверены в соответствии с пунктом 2.5 раздела 2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3.8. Заявитель, в отношении которого принято решение Конкурсной Комиссией о допуске к дальнейшему участию в Конкурсе, приобретает статус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3.9. Критериями оценки и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Участником документов является: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полнота и соответствие представленных документов пункту 2.4 раздела 2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3.10. На втором этапе работы Конкурсная Комиссия осуществляет: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оценку финансовых предложений Участников;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3.11. Основанием для отказа в принятии к рассмотрению финансового предложения Участника является: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3.12. 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3.13. При выявлении на первом этапе Конкурса одного Участника по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3.14. 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3.15. В случае если заявления двух или более участников соответствуют условиям Конкурса и их предложения содержат одинаковый размер </w:t>
      </w:r>
      <w:hyperlink w:anchor="sub_2" w:history="1">
        <w:r w:rsidRPr="00EE5079">
          <w:rPr>
            <w:rFonts w:ascii="Times New Roman" w:eastAsia="Times New Roman" w:hAnsi="Times New Roman" w:cs="Times New Roman"/>
            <w:sz w:val="28"/>
            <w:szCs w:val="28"/>
          </w:rPr>
          <w:t>финансового предложения</w:t>
        </w:r>
      </w:hyperlink>
      <w:r w:rsidRPr="00EE5079">
        <w:rPr>
          <w:rFonts w:ascii="Times New Roman" w:eastAsia="Times New Roman" w:hAnsi="Times New Roman" w:cs="Times New Roman"/>
          <w:sz w:val="28"/>
          <w:szCs w:val="28"/>
        </w:rPr>
        <w:t>, предпочтение отдается участнику, ранее других представившему заявление на участие в Конкурсе.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3.16. 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3.17. 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Конкурса оформляется в течение 3-х дней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второго этапа Конкурса и подписывается председателем Комиссии, ее членами, принимавшими участие в заседаниях, и секретарем.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обеспечивает в течение 10 дней с даты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проведения второго этапа Конкурса размещения итогового протокола Конкурса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поселения.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3.18.С Победителем Конкурса на основании итогового протокола в течение 5 дней после предоставления им Организатору документов, указанных в разделе 4 настоящего Положения, заключается Договор о предоставлении права на размещение нестационарного торгового объекта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по установленной форме (приложение № 4 к Положению).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3.19. 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 Обязанности победителя Конкурса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4.1. Для заключения договора о предоставлении права на размещение нестационарного торгового объекта, Победитель Конкурса обязан в течение 5 дней со дня размещения на официальном сайте поселения  итогового протокола Конкурса,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предоставить Организатору следующие документы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договор на вывоз твердых и коммунальных отходов со специализированной организацией;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документ, подтверждающий оплату предложенной  суммы финансового предложения за право размещения на территории поселения. 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 Заключительные положения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5.1. 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5.2. Если конкурс признан несостоявшимся, проводится повторный конкурс в порядке, установленном настоящим Положением.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5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Е.С.Ротач</w:t>
      </w:r>
      <w:proofErr w:type="spellEnd"/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1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 проведении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 на право размещения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объектов на территории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Верхнекубанского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Верхнекубанского сельского поселения 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201__г.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(наименование юридического лица, Ф.И.О. предпринимателя)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(юридический адрес,  ИНН,  телефон)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именуемый в дальнейшем Заявитель, принимает решение об участии в конкурсе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Верхнекубанского сельского поселения Новокубанского района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следующим видам товаров (услуг):____________________________________________________________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условиями, Положением и извещением о проведении Конкурса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Верхнекубанского сельского поселения Новокубанского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ознакомлен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Подпись Заявителя      _________       ________________________________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подпись                        расшифровка подписи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признания Победителем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Подпись Заявителя          _________       ___________________________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подпись                  расшифровка подписи                  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м.п.  «____» ___________________ 201__г.»</w:t>
      </w: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5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Ротач</w:t>
      </w:r>
      <w:proofErr w:type="spellEnd"/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2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на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торговых объектов на территории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Верхнекубанского сельского поселения Новокубанского района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Тихорецкого</w:t>
      </w:r>
      <w:proofErr w:type="spell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наименование Заявителя (индивидуального предпринимателя или юридического лица)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на право размещения нестационарного торгового объекта по адресу:____________________________________________________________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указывается адрес размещения в соответствии с описательной частью дислокации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5CB" w:rsidRPr="00EE5079" w:rsidRDefault="00434A90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277.2pt;margin-top:2.05pt;width:29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</w:pict>
      </w:r>
      <w:r w:rsidRPr="00434A90">
        <w:rPr>
          <w:rFonts w:ascii="Times New Roman" w:eastAsia="SimSun" w:hAnsi="Times New Roman" w:cs="Times New Roman"/>
          <w:noProof/>
          <w:sz w:val="28"/>
          <w:szCs w:val="28"/>
          <w:vertAlign w:val="superscript"/>
        </w:rPr>
        <w:pict>
          <v:rect id="Прямоугольник 5" o:spid="_x0000_s1028" style="position:absolute;left:0;text-align:left;margin-left:234pt;margin-top:2.05pt;width:27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189pt;margin-top:2.05pt;width:27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</w:pict>
      </w:r>
      <w:r w:rsidR="000C55CB"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порядковым номером лота                                    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в сумме _____________________________________________________ рублей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сумма финансового предложения прописью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(_________________________________________________________________)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«____»_________________ 201__г.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 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5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Ротач</w:t>
      </w:r>
      <w:proofErr w:type="spellEnd"/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3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на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торговых объектов на территории </w:t>
      </w:r>
    </w:p>
    <w:p w:rsidR="000C55CB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Верхнекубанского сельского поселения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Заявление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Конкурсную Комиссию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«__»____________ 201__г.    ___ часов ____ минут поселок ______________ 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ФИО Участника Конкурса 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Верхнекубанского сельского поселения Новокубанского района</w:t>
      </w: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заявляю об отказе в рассмотрении Конкурсной Комиссией поданного мною Финансового предложения по лоту №              </w:t>
      </w:r>
      <w:r w:rsidRPr="00EE50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наименование товара (услуги), </w:t>
      </w:r>
      <w:proofErr w:type="gramStart"/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предусмотренных</w:t>
      </w:r>
      <w:proofErr w:type="gramEnd"/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лотом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 Конкурса _________________________________________________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EE5079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5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Ротач</w:t>
      </w:r>
      <w:proofErr w:type="spellEnd"/>
    </w:p>
    <w:p w:rsidR="000C55CB" w:rsidRPr="00EE5079" w:rsidRDefault="000C55CB" w:rsidP="000C55C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конкурса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право размещения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объектов на территории </w:t>
      </w:r>
    </w:p>
    <w:p w:rsidR="000C55CB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Новокубанского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                                                       «___»__________ 201__ г.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, именуемая «Администрация», в лице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___________________________________________,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  одной  стороны,   и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(наименование юридического лица, ф.и.о. индивидуального предпринимателя)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(должность, Ф.И.О.)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  <w:proofErr w:type="gramEnd"/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 Предмет Договора: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Администрация предоставляет Участнику право на размещение нестационарного торгового объекта – далее Объект:  __________________________________________ для осуществления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торговой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(наименование объекта оказания услуг)           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(реализуемая продукция)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 адресу: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(место расположения объекта)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  срок  с _________________  по___________________201__ года.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2.1. Администрация имеет право: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требований, установленных Положением о конкурсе на право размещения нестационарных торговых объектов.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2.1.2. Проводить комиссионные проверки Объекта с составлением акта.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2.1.3. 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2.2. Администрация обязана: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2.3. Участник имеет право: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разместить Объект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схемой нестационарных торговых объектов, утвержденной постановлением администрации муниципального образования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Тихорецкий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район. 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 Участник обязан: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2.4.1. Обеспечить установку Объекта и его готовность к работе в соответствии с эскизным проектом и требованиями к эксплуатации в срок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______________.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2.4.2. Обеспечить надлежащее санитарное состояние нестационарного торгового объекта и прилегающей территории.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2.4.3. 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2.4.4. Использовать Объект по назначению, указанному в пункте 1.1 настоящего Договора, без права передачи его третьему лицу.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2.4.5.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2.4.6. Установить режим работы Объекта с _____ часов до ____ часов.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2.4.7. Обеспечить постоянное наличие вывески о принадлежности Объекта и предъявление по требованию следующих документов: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Договора; 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редусмотренных законом Российской Федерации от 7 февраля 1992 года № 2300-I «О защите прав потребителей»;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журнала учета мероприятий по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нестационарным торговым объектом,  оказания  услуг.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 Расторжение Договора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не устранения в срок нарушений, выявленных комиссией при проверке Объекта и отраженных в акте;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Участником подпунктов 2.4.2, 2.4.4  раздела 2 настоящего Договора;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неоднократного (2 и более раз) нарушения Участником подпунктов 2.4.3, 2.4.5 - 2.4.7 раздела 2 настоящего Договора;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3.2. 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 Прочие условия: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4.4. Договор составлен в 3-х экземплярах.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 Юридические адреса и подписи сторон: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               Администрация                                                  Участник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___________________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___________________»</w:t>
      </w: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tabs>
          <w:tab w:val="left" w:pos="6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C55CB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5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Ротач</w:t>
      </w:r>
      <w:proofErr w:type="spellEnd"/>
    </w:p>
    <w:p w:rsidR="000C55CB" w:rsidRPr="00EE5079" w:rsidRDefault="000C55CB" w:rsidP="000C55CB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Default="000C55CB" w:rsidP="000C55CB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C55CB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предоставлении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Новокубанского </w:t>
      </w: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 Законом Краснодарского края 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2005 года № 879-КЗ «О государственной политике Краснодарского края в сфере торговой деятельности»,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55CB" w:rsidRPr="00EE5079" w:rsidRDefault="000C55CB" w:rsidP="000C55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предоставлении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0C55CB" w:rsidRPr="00EE5079" w:rsidRDefault="000C55CB" w:rsidP="000C55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(приложение № 2).</w:t>
      </w:r>
    </w:p>
    <w:p w:rsidR="000C55CB" w:rsidRPr="00EE5079" w:rsidRDefault="000C55CB" w:rsidP="000C55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Ведущему специалисту организационно - правового 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Ротач</w:t>
      </w:r>
      <w:proofErr w:type="spellEnd"/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обеспечить обнародование настоящего постановления в установленном порядке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0C55CB" w:rsidRPr="00EE5079" w:rsidRDefault="000C55CB" w:rsidP="000C55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55CB" w:rsidRPr="00EE5079" w:rsidRDefault="000C55CB" w:rsidP="000C55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5.Постановление вступает в силу со дня его официального обнародования.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192B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192B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79">
        <w:rPr>
          <w:rFonts w:ascii="Times New Roman" w:eastAsia="Times New Roman" w:hAnsi="Times New Roman" w:cs="Times New Roman"/>
          <w:sz w:val="28"/>
          <w:szCs w:val="28"/>
        </w:rPr>
        <w:t xml:space="preserve">Глава Верхнекубанского сельского поселения </w:t>
      </w:r>
    </w:p>
    <w:p w:rsidR="000C55CB" w:rsidRPr="00192B79" w:rsidRDefault="000C55CB" w:rsidP="000C55CB">
      <w:pPr>
        <w:tabs>
          <w:tab w:val="left" w:pos="8029"/>
          <w:tab w:val="left" w:pos="8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79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А.В. Брежнев</w:t>
      </w:r>
      <w:r w:rsidRPr="00192B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55CB" w:rsidRPr="00192B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55CB" w:rsidRPr="00192B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C55CB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предоставлении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 сельского поселения 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  <w:r w:rsidRPr="00EE50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bookmarkEnd w:id="0"/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1"/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1.1.Положение о предоставлении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целях реализации требований Федерального закона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 постановления главы администрации (губернатора) Краснодарского края от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2014года № 1249 «Об утверждении Порядка разработки и утверждения органами местного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схем размещения нестационарных торговых объектов на территории Краснодарского края» и определяет порядок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Положение регулирует порядок размещения нестационарных торговых объектов в соответствии со схемой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далее - Схема).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2"/>
      <w:bookmarkEnd w:id="1"/>
      <w:r w:rsidRPr="00EE5079">
        <w:rPr>
          <w:rFonts w:ascii="Times New Roman" w:eastAsia="Times New Roman" w:hAnsi="Times New Roman" w:cs="Times New Roman"/>
          <w:sz w:val="28"/>
          <w:szCs w:val="28"/>
        </w:rPr>
        <w:t>1.2.Требования Положения не распространяются на отношения, связанные с размещением нестационарных торговых объектов:</w:t>
      </w:r>
    </w:p>
    <w:bookmarkEnd w:id="2"/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находящихся на территориях розничных рынков;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 (не более 15 дней), муниципальных ярмарок.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1.3. Основные понятия, используемые в Положении: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нестационарный торговый объект - объект, представляющий собой временное сооружение или временную конструкцию, не связанную прочно с земельным участком вне зависимости от присоединения или неприсоединения к сетям инженерно-технического обеспечения, посредством которого осуществляются услуги торговли, общественного питания и бытового обслуживания;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тонара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автоприцепа, передвижного торгового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прилавков, лотков, из корзин, палаток и ручных тележек;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павильон - оборудованное нестационарное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киоск - оснащенное торговым оборудованием нестационарное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 Порядок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2.1. Размещение торговых нестационарных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местах, определенных Схемой, утверждаемой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2.2. Документом, подтверждающим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является договор на размещение нестационарного торгового объекта (далее - Договор), заключаемый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2.3. Сведения о нестационарных торговых объектах вносятся в Реестр нестационарных торговых объектов. Порядок ведения Реестра определяется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 Порядок получения права на размещение нестационарных торговых объектов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3.1. Размещение нестационарных торговых объектов,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осуществляется на основании договора, заключаемого по итогам проведения торгов в форме открытого аукциона, порядок проведения которого определяется в соответствии с приложением к настоящему Положению.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места размещения развозной и разносной торговли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, при условии согласия, право на размещение нестационарного торгового объекта предоставляется на свободном месте для объекта с аналогичной специализацией, предусмотренном Схемой, без проведения торгов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окончания срока действия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3.2. Размещение нестационарных объектов (киосков и павильонов)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осуществляется на основаниях, предусмотренных земельным законодательством Российской Федерации.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tabs>
          <w:tab w:val="left" w:pos="88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А.В. Брежнев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 Положению о предоставлении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права размещения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объектов на территории </w:t>
      </w:r>
    </w:p>
    <w:p w:rsidR="000C55CB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аукциона на право заключения договора на размещение нестационарного торгового объекта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1.1. Порядок проведения аукциона на право заключения договора на размещение нестационарного торгового объекта (далее - Порядок) определяет последовательность действий по подготовке и проведению аукциона на право заключения договора на размещение нестационарного торгового объекта.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1.2. Аукцион на право заключения договора на размещение нестационарного торгового объекта проводится в форме открытого аукциона с подачей предложений о цене в закрытой форме (в запечатанном конверте).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1.3. Организацию проведения аукционов на право заключения договоров на размещение нестационарных торговых объектов осуществляет отдел по финансам, доходам и прогнозированию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Организатор).</w:t>
      </w: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1.4. Проведение аукциона осуществляется аукционной комиссией (далее - Комиссия).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1.5.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1.6. Участник аукциона - лицо, допущенное Организатором для участия в аукционе.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1.7. Победитель аукциона - лицо, предложившее наивысшую цену за право на заключение Договора в порядке, установленном настоящим Порядком.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1.8.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1.9. Договор на размещение нестационарного торгового объекта - договор, заключенный Организатором с победителем аукциона (далее – Договор).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1.10. Официальный сайт -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verhnekub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1.11. В случае если к участию в аукционе с учетом требований, установленных информационным сообщением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кциона, допущен один претендент и аукцион признан несостоявшимся, Договор заключается с единственным участником аукциона по начальной цене предмета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 Полномочия Организатора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2.1. Определяет начальную (минимальную) цену аукциона на право заключения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2.2. Определяет место, даты начала и окончания приема заявок, место и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проведения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2.3. Организует подготовку и публикацию информационного сообщения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 в официальных средствах массовой информации и на официальном сайте в сети Интернет.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2.4.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2.5. Проверяет правильность оформления представленных претендентами документов и определяет их соответствие перечню документов, опубликованному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2.6. Ведет учет заявок по мере их поступления в журнале приема заявок.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2.7. Производит расчеты с претендентами, участниками и победителем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 Полномочия Комиссии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3.1. Комиссия состоит не менее пяти членов, включая председателя и заместителя председателя. 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 Комиссии подписываются всеми присутствующими на заседании членами Комиссии, заместителем председателя Комиссии и председателем Комиссии.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3.2. Решения Комиссии принимаются голосованием, которое осуществляется открыто. Для принятия решения необходимо простое большинство голосов членов Комиссии, присутствующих на заседании.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3.3. При голосовании каждый член Комиссии имеет один голос. В случае равенства голосов принимается решение, за которое голосовал председатель Комиссии.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Член Комиссии, несогласный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3.4.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3.5. Комиссией осуществляется принятие решения о признании претендентов участниками аукциона, либо об отказе в допуске претендента к участию в аукционе, принятие решения о признании аукциона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,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 Подготовка к проведению аукциона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4.1. Информационное сообщение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 публикуется в газете «Сельская газета» и на официальном сайте в сети Интернет не менее чем за тридцать дней до даты проведения аукциона и содержит следующие сведения: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наименование Организатора (адрес, телефон);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реквизиты решения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место, дата, время и порядок проведения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- предмет аукциона, включая сведения об адресе (месте) размещения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нестационарного торгового объекта;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порядок приема заявок на участие в аукционе, дата и время начала и окончания приема заявок на участие в аукционе;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место, дата, время признания претендентов участниками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условия определения победителя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начальная цена предмета аукциона, а также срок и порядок внесения денежных средств;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размер задатка, сроки и порядок его внесения и возврата, реквизиты счета для перечисления денежных средств;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срок заключения договора на право размещения нестационарного торгового объекта.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4.2. Прием заявок прекращается не ранее чем за пять дней до дня проведения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4.3. Организатор вправе отказаться от проведения аукциона не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кциона должно быть опубликовано Организатором в течение трех дней со дня принятия соответствующего решения в официальных средствах массовой информации, в которых было опубликовано извещение о проведении аукциона. Организатор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опубликования в официальных средствах массовой информации извещения об отказе в проведении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 Условия участия в аукционе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5.1. Для участия в аукционе претендент представляет Организатору в срок, установленный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заявку на участие в аукционе по форме, установленной в приложении № 1 к настоящему Порядку, для индивидуальных предпринимателей;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заявку на участие в аукционе по форме, установленной в приложении № 2 к настоящему Порядку, для юридических лиц.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5.2. К заявке прилагаются следующие документы: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 и заключение Договора, с предъявлением документа, удостоверяющего личность;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общегражданского паспорта Российской Федерации (разворот 2-3 страниц и страница с отметкой о регистрации), документ, подтверждающий полномочия лица на представление заявки и заключение Договора, с предъявлением документа, удостоверяющего личность;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- платежный документ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аукциона задатка;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предложения о цене в запечатанном конверте.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5.3. Заявка регистрируется в журнале приема заявок с указанием даты и времени регистрации подачи заявки. Претенденту после регистрации выдается копия заявки с указанием даты и времени ее регистрации и Ф.И.О. должностного лица, принявшего заявку. Один претендент имеет право подать только одну заявку по каждому из лотов.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5.4. Для участия в аукционе претендент вносит задаток на указанный Организатором счет. Размер задатка не может превышать начальную (минимальную) цену аукциона на право заключения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5.5. По истечении срока окончания приема заявок на участие в аукционе, указанного в информационном сообщении, прием документов прекращается.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5.6. Претенденту может быть отказано в участии в аукционе, если: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лицо, подавшее заявку, не предоставило в срок, указанный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кциона, обязательные документы, предусмотренные Порядком;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не подтверждено поступление денежных сре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ачестве обеспечения заявки на участие в аукционе (задатка) в размере, указанном в информационном сообщении на день окончания приема документов для участия в аукционе.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Отказ в допуске к участию в аукционе по иным основаниям не допускается.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5.7. Организатор обязан вернуть задаток претенденту, не допущенному к участию в аукционе, в течение десяти банковских дней со дня принятия решения об отказе в допуске претендента к участию в аукционе по реквизитам счета, указанного в заявке для возврата задатка.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5.8. Претендент на участие в аукционе имеет право отозвать свою заявку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счета, указанного в заявке для возврата задатка.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 Порядок проведения аукциона и оформление его результатов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6.1. В день, указанный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6.2. Решение Комиссии о признании претендентов участниками аукциона оформляется протоколом.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было отказано в допуске к участию в аукционе, с указанием оснований для отказа.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6.3.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6.4. Претендент приобретает статус участника аукциона с момента принятия соответствующего решения Комиссией.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6.5. Аукцион проводится в следующем порядке: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1) перед вскрытием конвертов с предложениями о цене на право заключения Договора Комиссия проверяет их целостность, что фиксируется в протоколе об итогах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2)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Предложения, содержащие цену ниже начальной цены на право заключения Договора, не рассматриваются;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3) при оглашении предложений могут присутствовать все участники аукциона или их представители, имеющие надлежащим образом оформленную доверенность;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4) 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5) решение Комиссии об определении победителя оформляется протоколом о результатах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6.6. По результатам аукциона победитель аукциона и Организатор заключают Договор.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6.7. 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кциона.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6.8.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7. Оформление результатов аукциона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7.1.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второй - Организатору.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протоколе указывается: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место (адрес) размещения нестационарного торгового объекта;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имя (наименование) победителя;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цена лота;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обязанности победителя аукциона по заключению Договора;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7.2. При уклонении или отказе победителя аукциона от подписания протокола о результатах аукциона или от заключения в установленный срок Договора он утрачивает право на заключение указанного Договора и задаток ему не возвращается. Право на заключение Договора предоставляется участнику,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7.3. Протокол о результатах аукциона является основанием для заключения с победителем аукциона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7.4. Победитель аукциона обязан заключить Догово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3) с Организатором в срок не позднее двадцати календарных дней со дня подписания протокола о результатах аукциона при условии полной оплаты приобретенного права, что подтверждается копией платежного поручения (квитанции).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7.5. Внесенный победителем аукциона задаток засчитывается в счет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оплаты стоимости права размещения нестационарного торгового объекта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7.6. Отказ победителя аукциона от подписания протокола о результатах аукциона считается отказом от заключения Договора.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7.7. Если победитель аукциона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отказывается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произвести платеж или не вносит его в установленный срок, право на заключение Договора получает участник, предложивший наиболее высокую цену, следующую после предложенной победителем аукциона цены на право заключения договора. Если и этот участник отказывается произвести оплату, аукцион по данному объекту признается несостоявшимся.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7.8. Участникам аукциона, не выигравшим аукцион по лотам, задаток за участие в аукционе возвращается в течение десяти банковских дней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аукциона по реквизитам счета, указанного в заявке.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7.9. Информация о результатах аукциона публикуется Организатором в течение трех рабочих дней со дня подписания протокола о результатах аукциона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Маяков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verhnekub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8. Признание аукциона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8.1. Аукцион по каждому выставленному лоту признается несостоявшимся в случае, если: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на участие в аукционе подана одна заявка;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на участие в аукционе не подано ни одной заявки.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8.2. Задаток не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возвращается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если победитель аукциона уклонился от: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подписания протокола о результатах аукциона;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оплаты полной стоимости приобретенного права размещения нестационарного торгового объекта;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заключения Договора.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8.3. В случае признания аукциона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в связи: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с поступлением одной заявки (по одному из лотов), повторный аукцион не проводится, Договор заключается по начальной цене аукциона с претендентом, от которого поступила единственная заявка, при полной оплате им начальной цены лота.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Договор заключается на условиях, указанных в информационном сообщении о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 и документации об аукционе.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 не поступлением заявок (по одному из лотов) или, если ни один из участников аукциона не представил предложения о цене за право заключения Договора, Комиссия объявляет о повторном проведен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кциона со снижением начальной цены аукциона или рекомендует Организатору об исключении мест размещения нестационарных торговых объектов из Схемы.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9. Определение начальной цены аукциона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9.1. Начальная цена аукциона на право заключения Договора определяется по формуле: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9.1. Для сезонных нестационарных торговых объектов (за исключением сезонных (летних) кафе):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S = C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сезон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K, где: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сезон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Kсезон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Kсезон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= 1,0 - с 1 ноября по 31 марта);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040"/>
        <w:gridCol w:w="3997"/>
      </w:tblGrid>
      <w:tr w:rsidR="000C55CB" w:rsidRPr="00EE5079" w:rsidTr="00567F4A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0C55CB" w:rsidRPr="00EE5079" w:rsidTr="00567F4A">
        <w:trPr>
          <w:trHeight w:val="5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C55CB" w:rsidRPr="00EE5079" w:rsidTr="00567F4A">
        <w:trPr>
          <w:trHeight w:val="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C55CB" w:rsidRPr="00EE5079" w:rsidTr="00567F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9.2. Для мелкорозничных и иных несезонных нестационарных торговых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(включая сезонные (летние) кафе):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Sp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= C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K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Sp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C - базовый размер финансового предложения за 1 кв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 торгового объекта, равный 400 рублям в месяц;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91"/>
        <w:gridCol w:w="3097"/>
      </w:tblGrid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C55CB" w:rsidRPr="00EE5079" w:rsidRDefault="000C55CB" w:rsidP="00567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Киоск, павильон (площадью до 30 кв</w:t>
            </w: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Павильон (площадью от 31 кв</w:t>
            </w: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60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Павильон (площадью от 61 кв</w:t>
            </w: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100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Павильон (площадью свыше 101 кв</w:t>
            </w:r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91"/>
        <w:gridCol w:w="3097"/>
      </w:tblGrid>
      <w:tr w:rsidR="000C55CB" w:rsidRPr="00EE5079" w:rsidTr="00567F4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C55CB" w:rsidRPr="00EE5079" w:rsidTr="00567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10.Порядок обжалования действий (бездействия) должностных лиц Организатора, а также решений Комиссии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Организатора могут быть обжалованы: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- главе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26127D">
        <w:rPr>
          <w:rFonts w:ascii="Times New Roman" w:eastAsia="Times New Roman" w:hAnsi="Times New Roman" w:cs="Times New Roman"/>
          <w:sz w:val="28"/>
          <w:szCs w:val="28"/>
        </w:rPr>
        <w:t>352216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х. Кирова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Заводская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, телефон: </w:t>
      </w:r>
      <w:r>
        <w:rPr>
          <w:rFonts w:ascii="Times New Roman" w:eastAsia="Times New Roman" w:hAnsi="Times New Roman" w:cs="Times New Roman"/>
          <w:sz w:val="28"/>
          <w:szCs w:val="28"/>
        </w:rPr>
        <w:t>2-04-29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- в иные органы в соответствии с действующим законодательством Российской Федерации.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Решения Комиссии и результаты аукциона могут быть обжалованы заинтересованными лицами в соответствии с действующим законодательством Российской Федерации.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Верхнекубанского сельского поселения </w:t>
      </w:r>
    </w:p>
    <w:p w:rsidR="000C55CB" w:rsidRPr="00EE5079" w:rsidRDefault="000C55CB" w:rsidP="000C55CB">
      <w:pPr>
        <w:tabs>
          <w:tab w:val="left" w:pos="86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 А.В.Брежнев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аукциона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 участие в аукционе по приобретению права на размещение нестационарного торгового объекта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«___» ___________ 20 __ года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 торгового(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)объекта(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749"/>
        <w:gridCol w:w="791"/>
        <w:gridCol w:w="1648"/>
        <w:gridCol w:w="2054"/>
        <w:gridCol w:w="1983"/>
      </w:tblGrid>
      <w:tr w:rsidR="000C55CB" w:rsidRPr="00EE5079" w:rsidTr="00567F4A">
        <w:trPr>
          <w:trHeight w:val="1082"/>
        </w:trPr>
        <w:tc>
          <w:tcPr>
            <w:tcW w:w="675" w:type="dxa"/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540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 условиями проведения аукциона и Порядком проведения аукциона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а) и согласен(а).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Реквизиты счета для возврата задатка: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/с________________________________в_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к/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с_______________________________БИ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«___»____________ 20 __ года_______________ (подпись)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(Ф.И.О. работника организатора аукциона)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«___» __________ 20 __ года время ________ за № ______ _____ (подпись)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Верхнекубанского сельского поселения </w:t>
      </w:r>
    </w:p>
    <w:p w:rsidR="000C55CB" w:rsidRPr="00EE5079" w:rsidRDefault="000C55CB" w:rsidP="000C55CB">
      <w:pPr>
        <w:tabs>
          <w:tab w:val="left" w:pos="86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 А.В.Брежнев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аукциона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нестационарного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торгового объекта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на участие в аукционе по приобретению права на размещение нестационарного торгового объекта</w:t>
      </w: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«___» _____________ 20 __ года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55CB" w:rsidRPr="00092E6D" w:rsidRDefault="000C55CB" w:rsidP="000C55CB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092E6D">
        <w:rPr>
          <w:rFonts w:ascii="Times New Roman" w:eastAsia="Times New Roman" w:hAnsi="Times New Roman" w:cs="Times New Roman"/>
        </w:rPr>
        <w:t>(полное наименование юридического лица, подавшего заявку)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зарегистрированное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C55CB" w:rsidRPr="00092E6D" w:rsidRDefault="000C55CB" w:rsidP="000C55CB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092E6D">
        <w:rPr>
          <w:rFonts w:ascii="Times New Roman" w:eastAsia="Times New Roman" w:hAnsi="Times New Roman" w:cs="Times New Roman"/>
        </w:rPr>
        <w:t>(орган, зарегистрировавший предприятие)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 юридическому адресу: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 чем выдано свидетельство серия ______</w:t>
      </w:r>
      <w:r>
        <w:rPr>
          <w:rFonts w:ascii="Times New Roman" w:eastAsia="Times New Roman" w:hAnsi="Times New Roman" w:cs="Times New Roman"/>
          <w:sz w:val="28"/>
          <w:szCs w:val="28"/>
        </w:rPr>
        <w:t>____ № __________________________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 торгового(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 объекта(</w:t>
      </w:r>
      <w:proofErr w:type="spellStart"/>
      <w:r w:rsidRPr="00EE507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E5079">
        <w:rPr>
          <w:rFonts w:ascii="Times New Roman" w:eastAsia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749"/>
        <w:gridCol w:w="791"/>
        <w:gridCol w:w="1648"/>
        <w:gridCol w:w="2054"/>
        <w:gridCol w:w="1983"/>
      </w:tblGrid>
      <w:tr w:rsidR="000C55CB" w:rsidRPr="00EE5079" w:rsidTr="00567F4A">
        <w:trPr>
          <w:trHeight w:val="1118"/>
        </w:trPr>
        <w:tc>
          <w:tcPr>
            <w:tcW w:w="630" w:type="dxa"/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791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0C55CB" w:rsidRPr="00EE5079" w:rsidRDefault="000C55CB" w:rsidP="0056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  <w:p w:rsidR="000C55CB" w:rsidRPr="00EE5079" w:rsidRDefault="000C55CB" w:rsidP="00567F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7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С условиями проведения аукциона и Порядком проведения аукциона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а) и согласен(а).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Номер телефона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Реквизиты счета для возврата задатка: 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0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079">
        <w:rPr>
          <w:rFonts w:ascii="Times New Roman" w:eastAsia="Times New Roman" w:hAnsi="Times New Roman" w:cs="Times New Roman"/>
          <w:sz w:val="28"/>
          <w:szCs w:val="28"/>
        </w:rPr>
        <w:t>/с________________________________в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к/с_______________________________БИ</w:t>
      </w:r>
      <w:r>
        <w:rPr>
          <w:rFonts w:ascii="Times New Roman" w:eastAsia="Times New Roman" w:hAnsi="Times New Roman" w:cs="Times New Roman"/>
          <w:sz w:val="28"/>
          <w:szCs w:val="28"/>
        </w:rPr>
        <w:t>К_______________________________</w:t>
      </w:r>
    </w:p>
    <w:p w:rsidR="000C55CB" w:rsidRPr="00092E6D" w:rsidRDefault="000C55CB" w:rsidP="000C55C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92E6D">
        <w:rPr>
          <w:rFonts w:ascii="Times New Roman" w:eastAsia="Times New Roman" w:hAnsi="Times New Roman" w:cs="Times New Roman"/>
        </w:rPr>
        <w:t xml:space="preserve">Ф.И.О. руководителя предприятия (организации) </w:t>
      </w:r>
    </w:p>
    <w:p w:rsidR="000C55CB" w:rsidRPr="00EE5079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E507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«____»____________ 20 __ года ________ (подпись)</w:t>
      </w:r>
    </w:p>
    <w:p w:rsidR="000C55CB" w:rsidRPr="00092E6D" w:rsidRDefault="000C55CB" w:rsidP="000C55C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92E6D">
        <w:rPr>
          <w:rFonts w:ascii="Times New Roman" w:eastAsia="Times New Roman" w:hAnsi="Times New Roman" w:cs="Times New Roman"/>
        </w:rPr>
        <w:t>М.П.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0C55CB" w:rsidRPr="00092E6D" w:rsidRDefault="000C55CB" w:rsidP="000C55C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92E6D">
        <w:rPr>
          <w:rFonts w:ascii="Times New Roman" w:eastAsia="Times New Roman" w:hAnsi="Times New Roman" w:cs="Times New Roman"/>
        </w:rPr>
        <w:t>(Ф.И.О. работника организатора аукциона)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«____» _________20 __ года время_____ за № _______ _______ (подпись)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Верхнекубанского сельского поселения </w:t>
      </w:r>
    </w:p>
    <w:p w:rsidR="000C55CB" w:rsidRPr="00EE5079" w:rsidRDefault="000C55CB" w:rsidP="000C55CB">
      <w:pPr>
        <w:tabs>
          <w:tab w:val="left" w:pos="86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 А.В.Брежнев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C55CB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0C55CB" w:rsidRPr="00EE5079" w:rsidRDefault="000C55CB" w:rsidP="000C55C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Новокубанского района</w:t>
      </w: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b/>
          <w:sz w:val="28"/>
          <w:szCs w:val="28"/>
        </w:rPr>
        <w:t>Состав аукционной комиссии по определению победителя аукциона на право заключения договора на размещение нестационарного торгового объекта</w:t>
      </w:r>
    </w:p>
    <w:p w:rsidR="000C55CB" w:rsidRPr="00DC03E0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9854"/>
      </w:tblGrid>
      <w:tr w:rsidR="000C55CB" w:rsidTr="00567F4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5CB" w:rsidRDefault="000C55CB" w:rsidP="00567F4A"/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44"/>
              <w:gridCol w:w="616"/>
              <w:gridCol w:w="4838"/>
            </w:tblGrid>
            <w:tr w:rsidR="000C55CB" w:rsidRPr="002138B0" w:rsidTr="00567F4A">
              <w:trPr>
                <w:gridAfter w:val="1"/>
                <w:wAfter w:w="4838" w:type="dxa"/>
              </w:trPr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616" w:type="dxa"/>
                  <w:vMerge w:val="restart"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Брежнев Александр Владимирович</w:t>
                  </w: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DC03E0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 </w:t>
                  </w:r>
                  <w:r w:rsidRPr="00DC03E0">
                    <w:rPr>
                      <w:rFonts w:ascii="Times New Roman" w:hAnsi="Times New Roman"/>
                      <w:sz w:val="24"/>
                      <w:szCs w:val="24"/>
                    </w:rPr>
                    <w:t>глава Верхнекубанского сельского поселения</w:t>
                  </w: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  <w:p w:rsidR="000C55CB" w:rsidRPr="00F46F35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Каутц</w:t>
                  </w:r>
                  <w:proofErr w:type="spellEnd"/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заместитель главы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Верхнекубанского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>поселения сельского поселения</w:t>
                  </w: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Эдуардовна</w:t>
                  </w: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pStyle w:val="af4"/>
                    <w:ind w:left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1 категории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Верхнекубанского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сельского поселения </w:t>
                  </w: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Члены комиссии: </w:t>
                  </w: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Мезина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Владимировна</w:t>
                  </w:r>
                </w:p>
                <w:p w:rsidR="000C55CB" w:rsidRPr="00F46F35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F46F35" w:rsidRDefault="000C55CB" w:rsidP="00567F4A">
                  <w:pPr>
                    <w:pStyle w:val="af4"/>
                    <w:ind w:left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бухгалтер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МКУК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Верхнекубанский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КДЦ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согласованию)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55CB" w:rsidRPr="002138B0" w:rsidTr="00567F4A">
              <w:tc>
                <w:tcPr>
                  <w:tcW w:w="4044" w:type="dxa"/>
                </w:tcPr>
                <w:p w:rsidR="000C55CB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Нестерова Светлана Викторовна</w:t>
                  </w:r>
                </w:p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Pr="00DC03E0" w:rsidRDefault="000C55CB" w:rsidP="00567F4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pStyle w:val="af4"/>
                    <w:ind w:left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ведущий 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Верхнекубанского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сельского поселения</w:t>
                  </w:r>
                </w:p>
              </w:tc>
            </w:tr>
            <w:tr w:rsidR="000C55CB" w:rsidRPr="00F46F35" w:rsidTr="00567F4A">
              <w:tc>
                <w:tcPr>
                  <w:tcW w:w="4044" w:type="dxa"/>
                </w:tcPr>
                <w:p w:rsidR="000C55CB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Перебейнос Людмила Николаевна</w:t>
                  </w:r>
                </w:p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0C55CB" w:rsidRPr="00F46F35" w:rsidRDefault="000C55CB" w:rsidP="00567F4A">
                  <w:pPr>
                    <w:tabs>
                      <w:tab w:val="right" w:pos="414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8" w:type="dxa"/>
                </w:tcPr>
                <w:p w:rsidR="000C55CB" w:rsidRDefault="000C55CB" w:rsidP="00567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55CB" w:rsidRPr="00F46F35" w:rsidRDefault="000C55CB" w:rsidP="00567F4A">
                  <w:pPr>
                    <w:pStyle w:val="af4"/>
                    <w:ind w:left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ведущий 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Верхнекубанского</w:t>
                  </w:r>
                  <w:r w:rsidRPr="00F46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сельского поселения</w:t>
                  </w:r>
                </w:p>
              </w:tc>
            </w:tr>
          </w:tbl>
          <w:p w:rsidR="000C55CB" w:rsidRPr="00D93DDC" w:rsidRDefault="000C55CB" w:rsidP="00567F4A">
            <w:pPr>
              <w:autoSpaceDE w:val="0"/>
              <w:autoSpaceDN w:val="0"/>
              <w:adjustRightInd w:val="0"/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D018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55CB" w:rsidRDefault="000C55CB" w:rsidP="0056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Pr="00EE5079" w:rsidRDefault="000C55CB" w:rsidP="000C55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5CB" w:rsidRDefault="000C55CB" w:rsidP="000C55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Верхнекубанского сельского поселения </w:t>
      </w:r>
    </w:p>
    <w:p w:rsidR="000C55CB" w:rsidRPr="00EE5079" w:rsidRDefault="000C55CB" w:rsidP="000C55CB">
      <w:pPr>
        <w:tabs>
          <w:tab w:val="left" w:pos="86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        А.В.Брежнев</w:t>
      </w:r>
    </w:p>
    <w:p w:rsidR="000C55CB" w:rsidRPr="00EE5079" w:rsidRDefault="000C55CB" w:rsidP="000C55C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4DD4" w:rsidRPr="00A97338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5CB" w:rsidRPr="00A97338" w:rsidRDefault="000C55CB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58EE" w:rsidRPr="002D256C" w:rsidRDefault="002B58EE" w:rsidP="002B58EE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58EE" w:rsidRPr="002D256C" w:rsidRDefault="002B58EE" w:rsidP="002B58EE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DD4" w:rsidRPr="002D256C" w:rsidRDefault="007F4DD4" w:rsidP="00F4696D">
      <w:pPr>
        <w:tabs>
          <w:tab w:val="left" w:pos="893"/>
          <w:tab w:val="left" w:pos="82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AA4" w:rsidRPr="00F4696D" w:rsidRDefault="00103AA4" w:rsidP="00F4696D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AA4" w:rsidRPr="00F4696D" w:rsidRDefault="00103AA4" w:rsidP="00F4696D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AA4" w:rsidRPr="00214A4B" w:rsidRDefault="00103AA4" w:rsidP="00103AA4">
      <w:pPr>
        <w:tabs>
          <w:tab w:val="left" w:pos="893"/>
        </w:tabs>
        <w:ind w:firstLine="360"/>
      </w:pPr>
    </w:p>
    <w:p w:rsidR="00F615B8" w:rsidRDefault="00F615B8"/>
    <w:sectPr w:rsidR="00F615B8" w:rsidSect="0038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3AA4"/>
    <w:rsid w:val="00015D71"/>
    <w:rsid w:val="000B70E3"/>
    <w:rsid w:val="000C19F8"/>
    <w:rsid w:val="000C55CB"/>
    <w:rsid w:val="000D6464"/>
    <w:rsid w:val="000E214D"/>
    <w:rsid w:val="00103AA4"/>
    <w:rsid w:val="00151E94"/>
    <w:rsid w:val="001B0062"/>
    <w:rsid w:val="001F4847"/>
    <w:rsid w:val="00214A4B"/>
    <w:rsid w:val="00215F1F"/>
    <w:rsid w:val="00255752"/>
    <w:rsid w:val="002B23BF"/>
    <w:rsid w:val="002B58EE"/>
    <w:rsid w:val="002D256C"/>
    <w:rsid w:val="002D6119"/>
    <w:rsid w:val="003040C9"/>
    <w:rsid w:val="00340A16"/>
    <w:rsid w:val="00384243"/>
    <w:rsid w:val="003B7FA5"/>
    <w:rsid w:val="00423F5C"/>
    <w:rsid w:val="00434A90"/>
    <w:rsid w:val="00466F7E"/>
    <w:rsid w:val="004817AB"/>
    <w:rsid w:val="0048556C"/>
    <w:rsid w:val="00493279"/>
    <w:rsid w:val="004A3634"/>
    <w:rsid w:val="0053621B"/>
    <w:rsid w:val="00546214"/>
    <w:rsid w:val="005A546A"/>
    <w:rsid w:val="005F7D6F"/>
    <w:rsid w:val="00602E75"/>
    <w:rsid w:val="0065559F"/>
    <w:rsid w:val="0066069D"/>
    <w:rsid w:val="00674F29"/>
    <w:rsid w:val="006B6D81"/>
    <w:rsid w:val="006C3CD7"/>
    <w:rsid w:val="006D671F"/>
    <w:rsid w:val="00723572"/>
    <w:rsid w:val="007434DF"/>
    <w:rsid w:val="00746B81"/>
    <w:rsid w:val="00763328"/>
    <w:rsid w:val="00776ED2"/>
    <w:rsid w:val="007A6EEA"/>
    <w:rsid w:val="007F4DD4"/>
    <w:rsid w:val="007F5C5B"/>
    <w:rsid w:val="0083329E"/>
    <w:rsid w:val="00854AD3"/>
    <w:rsid w:val="00857ECC"/>
    <w:rsid w:val="008806CD"/>
    <w:rsid w:val="00885AE9"/>
    <w:rsid w:val="008B7614"/>
    <w:rsid w:val="008C4F1C"/>
    <w:rsid w:val="00927CE2"/>
    <w:rsid w:val="00940B12"/>
    <w:rsid w:val="0098236D"/>
    <w:rsid w:val="009B0071"/>
    <w:rsid w:val="009C0651"/>
    <w:rsid w:val="00A86B56"/>
    <w:rsid w:val="00A97338"/>
    <w:rsid w:val="00AB6E89"/>
    <w:rsid w:val="00AD77E2"/>
    <w:rsid w:val="00AE0261"/>
    <w:rsid w:val="00AE7AD4"/>
    <w:rsid w:val="00AF59F6"/>
    <w:rsid w:val="00BC6F76"/>
    <w:rsid w:val="00BD0655"/>
    <w:rsid w:val="00BD709C"/>
    <w:rsid w:val="00BF6AA7"/>
    <w:rsid w:val="00C0651F"/>
    <w:rsid w:val="00C156E1"/>
    <w:rsid w:val="00C21575"/>
    <w:rsid w:val="00C34455"/>
    <w:rsid w:val="00C62875"/>
    <w:rsid w:val="00C7778E"/>
    <w:rsid w:val="00C92947"/>
    <w:rsid w:val="00CD635D"/>
    <w:rsid w:val="00CE4139"/>
    <w:rsid w:val="00CF2C91"/>
    <w:rsid w:val="00D73080"/>
    <w:rsid w:val="00DA1771"/>
    <w:rsid w:val="00DA65FD"/>
    <w:rsid w:val="00DA746F"/>
    <w:rsid w:val="00DE111D"/>
    <w:rsid w:val="00DE5ABC"/>
    <w:rsid w:val="00DE7823"/>
    <w:rsid w:val="00E3728C"/>
    <w:rsid w:val="00E57B6C"/>
    <w:rsid w:val="00E6732E"/>
    <w:rsid w:val="00E718E8"/>
    <w:rsid w:val="00EB1088"/>
    <w:rsid w:val="00EE5FD1"/>
    <w:rsid w:val="00EE798A"/>
    <w:rsid w:val="00EF1922"/>
    <w:rsid w:val="00F077FD"/>
    <w:rsid w:val="00F42656"/>
    <w:rsid w:val="00F4696D"/>
    <w:rsid w:val="00F615B8"/>
    <w:rsid w:val="00F9598E"/>
    <w:rsid w:val="00FD04E4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A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F19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AA4"/>
    <w:rPr>
      <w:color w:val="0066CC"/>
      <w:u w:val="single"/>
    </w:rPr>
  </w:style>
  <w:style w:type="character" w:customStyle="1" w:styleId="a4">
    <w:name w:val="Гипертекстовая ссылка"/>
    <w:uiPriority w:val="99"/>
    <w:rsid w:val="00BF6AA7"/>
    <w:rPr>
      <w:rFonts w:cs="Times New Roman"/>
      <w:b w:val="0"/>
      <w:color w:val="008000"/>
    </w:rPr>
  </w:style>
  <w:style w:type="character" w:customStyle="1" w:styleId="3">
    <w:name w:val="Основной текст (3)_"/>
    <w:basedOn w:val="a0"/>
    <w:link w:val="30"/>
    <w:rsid w:val="009823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236D"/>
    <w:pPr>
      <w:shd w:val="clear" w:color="auto" w:fill="FFFFFF"/>
      <w:spacing w:before="3420" w:after="6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basedOn w:val="a"/>
    <w:rsid w:val="00214A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rsid w:val="00F46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qFormat/>
    <w:rsid w:val="00F4696D"/>
    <w:rPr>
      <w:b/>
      <w:bCs/>
    </w:rPr>
  </w:style>
  <w:style w:type="character" w:customStyle="1" w:styleId="10">
    <w:name w:val="Заголовок 1 Знак"/>
    <w:basedOn w:val="a0"/>
    <w:link w:val="1"/>
    <w:rsid w:val="00EF1922"/>
    <w:rPr>
      <w:rFonts w:ascii="Arial" w:eastAsia="Times New Roman" w:hAnsi="Arial" w:cs="Times New Roman"/>
      <w:b/>
      <w:bCs/>
      <w:color w:val="000080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7F4DD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7F4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97338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customStyle="1" w:styleId="ConsPlusTitle">
    <w:name w:val="ConsPlusTitle"/>
    <w:rsid w:val="00FD0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885AE9"/>
    <w:pPr>
      <w:spacing w:after="0" w:line="240" w:lineRule="auto"/>
    </w:pPr>
  </w:style>
  <w:style w:type="character" w:customStyle="1" w:styleId="aa">
    <w:name w:val="Основной текст_"/>
    <w:basedOn w:val="a0"/>
    <w:link w:val="2"/>
    <w:locked/>
    <w:rsid w:val="00885AE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885AE9"/>
    <w:pPr>
      <w:shd w:val="clear" w:color="auto" w:fill="FFFFFF"/>
      <w:spacing w:line="0" w:lineRule="atLeast"/>
      <w:ind w:hanging="1980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31">
    <w:name w:val="Основной текст3"/>
    <w:basedOn w:val="a"/>
    <w:rsid w:val="00F42656"/>
    <w:pPr>
      <w:shd w:val="clear" w:color="auto" w:fill="FFFFFF"/>
      <w:spacing w:before="900" w:line="240" w:lineRule="atLeast"/>
      <w:ind w:hanging="220"/>
      <w:jc w:val="both"/>
    </w:pPr>
    <w:rPr>
      <w:rFonts w:ascii="Times New Roman" w:eastAsia="Courier New" w:hAnsi="Times New Roman" w:cs="Times New Roman"/>
      <w:color w:val="auto"/>
      <w:sz w:val="25"/>
      <w:szCs w:val="25"/>
      <w:lang w:bidi="ar-SA"/>
    </w:rPr>
  </w:style>
  <w:style w:type="paragraph" w:customStyle="1" w:styleId="ab">
    <w:name w:val="Знак Знак Знак Знак"/>
    <w:basedOn w:val="a"/>
    <w:uiPriority w:val="99"/>
    <w:rsid w:val="005F7D6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Body Text"/>
    <w:basedOn w:val="a"/>
    <w:link w:val="ad"/>
    <w:rsid w:val="00AB6E89"/>
    <w:pPr>
      <w:widowControl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rsid w:val="00AB6E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6E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E8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BD0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C55C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C55CB"/>
  </w:style>
  <w:style w:type="character" w:styleId="af2">
    <w:name w:val="page number"/>
    <w:basedOn w:val="a0"/>
    <w:uiPriority w:val="99"/>
    <w:rsid w:val="000C55CB"/>
    <w:rPr>
      <w:rFonts w:cs="Times New Roman"/>
    </w:rPr>
  </w:style>
  <w:style w:type="table" w:styleId="af3">
    <w:name w:val="Table Grid"/>
    <w:basedOn w:val="a1"/>
    <w:uiPriority w:val="59"/>
    <w:rsid w:val="000C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C55C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9770</Words>
  <Characters>55690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3</cp:revision>
  <cp:lastPrinted>2018-09-10T08:03:00Z</cp:lastPrinted>
  <dcterms:created xsi:type="dcterms:W3CDTF">2018-09-10T08:06:00Z</dcterms:created>
  <dcterms:modified xsi:type="dcterms:W3CDTF">2018-09-10T17:36:00Z</dcterms:modified>
</cp:coreProperties>
</file>